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3F" w:rsidRDefault="001E653F" w:rsidP="001E653F">
      <w:pPr>
        <w:rPr>
          <w:b/>
        </w:rPr>
      </w:pPr>
      <w:r>
        <w:rPr>
          <w:b/>
        </w:rPr>
        <w:t xml:space="preserve">Partner Input </w:t>
      </w:r>
      <w:r w:rsidR="000868C1">
        <w:rPr>
          <w:b/>
        </w:rPr>
        <w:t>Example</w:t>
      </w:r>
      <w:bookmarkStart w:id="0" w:name="_GoBack"/>
      <w:bookmarkEnd w:id="0"/>
      <w:r w:rsidRPr="001E653F">
        <w:rPr>
          <w:b/>
          <w:szCs w:val="22"/>
        </w:rPr>
        <w:t xml:space="preserve"> – </w:t>
      </w:r>
      <w:r>
        <w:rPr>
          <w:b/>
          <w:szCs w:val="22"/>
        </w:rPr>
        <w:t>Watch for Me NC Repo</w:t>
      </w:r>
      <w:r w:rsidRPr="001E653F">
        <w:rPr>
          <w:b/>
          <w:szCs w:val="22"/>
        </w:rPr>
        <w:t>rt</w:t>
      </w:r>
      <w:r>
        <w:rPr>
          <w:b/>
          <w:szCs w:val="22"/>
        </w:rPr>
        <w:t xml:space="preserve"> (excerpt)</w:t>
      </w:r>
      <w:r w:rsidRPr="001E653F">
        <w:rPr>
          <w:b/>
          <w:szCs w:val="22"/>
        </w:rPr>
        <w:t xml:space="preserve"> </w:t>
      </w:r>
    </w:p>
    <w:p w:rsidR="001E653F" w:rsidRPr="0079534B" w:rsidRDefault="001E653F" w:rsidP="001E653F">
      <w:pPr>
        <w:rPr>
          <w:b/>
        </w:rPr>
      </w:pPr>
    </w:p>
    <w:p w:rsidR="001E653F" w:rsidRPr="0079534B" w:rsidRDefault="001E653F" w:rsidP="001E653F">
      <w:r w:rsidRPr="001E653F">
        <w:rPr>
          <w:i/>
        </w:rPr>
        <w:t>Partner Input</w:t>
      </w:r>
      <w:r w:rsidRPr="0079534B">
        <w:rPr>
          <w:b/>
        </w:rPr>
        <w:t xml:space="preserve"> - </w:t>
      </w:r>
      <w:r w:rsidRPr="0079534B">
        <w:t>Multiple in‐person meetings with various stakeholders were held, both in the beginning stages of</w:t>
      </w:r>
      <w:r>
        <w:t xml:space="preserve"> </w:t>
      </w:r>
      <w:r w:rsidRPr="0079534B">
        <w:t>planning the program and regularly throughout 2013. Stakeholders included a range of partners at the</w:t>
      </w:r>
      <w:r>
        <w:t xml:space="preserve"> </w:t>
      </w:r>
      <w:r w:rsidRPr="0079534B">
        <w:t>local, regional, and state level, including: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Capital Area Metropolitan Planning Organization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City of Durham (Planning, Engineering, and Police Departments)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City of Raleigh (Planning, Transit, and Police Departments)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Duke University (Transportation Demand Management and Police Department)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Durham Chapel Hill Carrboro Metropolitan Planning Organization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North Carolina Central University (Police Department)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North Carolina Department of Transportation, Division of Bicycle and Pedestrian Transportation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North Carolina State University (Police Department and ITRE staff)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St. Augustine’s College (Police Department)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Town of Carrboro (Planning, Communications, and Police Departments)</w:t>
      </w:r>
    </w:p>
    <w:p w:rsidR="001E653F" w:rsidRPr="0079534B" w:rsidRDefault="001E653F" w:rsidP="001E653F">
      <w:pPr>
        <w:numPr>
          <w:ilvl w:val="0"/>
          <w:numId w:val="1"/>
        </w:numPr>
        <w:ind w:left="1116"/>
      </w:pPr>
      <w:r w:rsidRPr="0079534B">
        <w:t>Town of Chapel Hill (Planning, Engineering, and Police Departments)</w:t>
      </w:r>
    </w:p>
    <w:p w:rsidR="001E653F" w:rsidRDefault="001E653F" w:rsidP="001E653F">
      <w:r w:rsidRPr="0079534B">
        <w:t>These stakeholders often represented and coordinated closely with other community groups, including</w:t>
      </w:r>
      <w:r>
        <w:t xml:space="preserve"> </w:t>
      </w:r>
      <w:r w:rsidRPr="0079534B">
        <w:t>municipal Bicycle and Pedestrian Advisory Councils (BPACs), local advocacy groups, transit services,</w:t>
      </w:r>
      <w:r>
        <w:t xml:space="preserve"> </w:t>
      </w:r>
      <w:r w:rsidRPr="0079534B">
        <w:t>parks and recreation departments, city councils, business districts, and others.</w:t>
      </w:r>
      <w:r>
        <w:t xml:space="preserve"> </w:t>
      </w:r>
      <w:r w:rsidRPr="0079534B">
        <w:t>A sub‐set of this group, including a representative from each municipality, NCDOT, and the two regional</w:t>
      </w:r>
      <w:r>
        <w:t xml:space="preserve"> </w:t>
      </w:r>
      <w:r w:rsidRPr="0079534B">
        <w:t>MPOs, was defined as a “steering committee” and held monthly meetings throughout the year. This</w:t>
      </w:r>
      <w:r>
        <w:t xml:space="preserve"> </w:t>
      </w:r>
      <w:r w:rsidRPr="0079534B">
        <w:t>group had previously met regularly in 2011 to decide upon the name of the campaign; provided input on</w:t>
      </w:r>
      <w:r>
        <w:t xml:space="preserve"> </w:t>
      </w:r>
      <w:r w:rsidRPr="0079534B">
        <w:t>logo and material design; and help inform the overall campaign strategy and identify opportunities for</w:t>
      </w:r>
      <w:r>
        <w:t xml:space="preserve"> </w:t>
      </w:r>
      <w:r w:rsidRPr="0079534B">
        <w:t>community engagement. In 2012 and 2013, additional feedback was gathered regarding the new bicycle</w:t>
      </w:r>
      <w:r>
        <w:t xml:space="preserve"> </w:t>
      </w:r>
      <w:r w:rsidRPr="0079534B">
        <w:t xml:space="preserve">campaign elements and input from the steering </w:t>
      </w:r>
      <w:r>
        <w:t>c</w:t>
      </w:r>
      <w:r w:rsidRPr="0079534B">
        <w:t>ommittee and other stakeholders was used to identify</w:t>
      </w:r>
      <w:r>
        <w:t xml:space="preserve"> </w:t>
      </w:r>
      <w:r w:rsidRPr="0079534B">
        <w:t>populations of interest and to develop communication strategies to target specific groups, such as</w:t>
      </w:r>
      <w:r>
        <w:t xml:space="preserve"> </w:t>
      </w:r>
      <w:r w:rsidRPr="0079534B">
        <w:t>bicycle riders. Stakeholder input was also used to help conceptualize and test the messages to be developed for the public outreach components of the project. Stakeholders helped identify and refine</w:t>
      </w:r>
      <w:r>
        <w:t xml:space="preserve"> </w:t>
      </w:r>
      <w:r w:rsidRPr="0079534B">
        <w:t>past lists of potential law enforcement sites and opportunities for outreach and engagement with the</w:t>
      </w:r>
      <w:r>
        <w:t xml:space="preserve"> </w:t>
      </w:r>
      <w:r w:rsidRPr="0079534B">
        <w:t>broader community. In most cases, the stakeholders took the lead in implementing the intervention,</w:t>
      </w:r>
      <w:r>
        <w:t xml:space="preserve"> </w:t>
      </w:r>
      <w:r w:rsidRPr="0079534B">
        <w:t>including performing the enforcement operations and distributing the educational materials to</w:t>
      </w:r>
      <w:r>
        <w:t xml:space="preserve"> </w:t>
      </w:r>
      <w:r w:rsidRPr="0079534B">
        <w:t>disseminate pedestrian safety messages to the broader public.</w:t>
      </w:r>
    </w:p>
    <w:p w:rsidR="001E653F" w:rsidRDefault="001E653F" w:rsidP="001E653F">
      <w:pPr>
        <w:ind w:left="396"/>
      </w:pPr>
    </w:p>
    <w:p w:rsidR="001E653F" w:rsidRPr="001E653F" w:rsidRDefault="001E653F" w:rsidP="001E653F">
      <w:pPr>
        <w:rPr>
          <w:i/>
          <w:sz w:val="18"/>
          <w:szCs w:val="18"/>
        </w:rPr>
      </w:pPr>
      <w:r w:rsidRPr="001E653F">
        <w:rPr>
          <w:i/>
          <w:sz w:val="18"/>
          <w:szCs w:val="18"/>
        </w:rPr>
        <w:t>*From: Watch for Me - NC 2014 project summary and evaluation final report (pages 3-4</w:t>
      </w:r>
      <w:r w:rsidR="000868C1">
        <w:rPr>
          <w:i/>
          <w:sz w:val="18"/>
          <w:szCs w:val="18"/>
        </w:rPr>
        <w:t xml:space="preserve"> </w:t>
      </w:r>
      <w:hyperlink r:id="rId5" w:history="1">
        <w:r w:rsidR="000868C1" w:rsidRPr="00A23822">
          <w:rPr>
            <w:rStyle w:val="Hyperlink"/>
            <w:sz w:val="18"/>
            <w:szCs w:val="18"/>
          </w:rPr>
          <w:t>http://www.watchformenc.org/wp-content/themes/WatchForMeNC_Custom/documents/WFM_FinalReport_2014.pdf</w:t>
        </w:r>
      </w:hyperlink>
      <w:r w:rsidR="000868C1">
        <w:rPr>
          <w:i/>
          <w:sz w:val="18"/>
          <w:szCs w:val="18"/>
        </w:rPr>
        <w:t xml:space="preserve"> </w:t>
      </w:r>
    </w:p>
    <w:p w:rsidR="001E653F" w:rsidRPr="0079534B" w:rsidRDefault="001E653F" w:rsidP="001E653F">
      <w:pPr>
        <w:ind w:left="396"/>
      </w:pPr>
    </w:p>
    <w:p w:rsidR="007A6ADD" w:rsidRDefault="007A6ADD"/>
    <w:sectPr w:rsidR="007A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A649D"/>
    <w:multiLevelType w:val="hybridMultilevel"/>
    <w:tmpl w:val="D3CE3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3F"/>
    <w:rsid w:val="000868C1"/>
    <w:rsid w:val="001E653F"/>
    <w:rsid w:val="007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6E31"/>
  <w15:chartTrackingRefBased/>
  <w15:docId w15:val="{68E62028-66B7-48C0-AE04-2E57E8D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653F"/>
    <w:pPr>
      <w:spacing w:after="0" w:line="240" w:lineRule="auto"/>
    </w:pPr>
    <w:rPr>
      <w:rFonts w:ascii="Calibri" w:hAnsi="Calibri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8C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868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tchformenc.org/wp-content/themes/WatchForMeNC_Custom/documents/WFM_FinalReport_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2</cp:revision>
  <dcterms:created xsi:type="dcterms:W3CDTF">2017-05-23T22:17:00Z</dcterms:created>
  <dcterms:modified xsi:type="dcterms:W3CDTF">2017-05-23T22:59:00Z</dcterms:modified>
</cp:coreProperties>
</file>