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61F2" w:rsidRDefault="00F65D7C" w:rsidP="003761F2">
      <w:pPr>
        <w:spacing w:before="600" w:after="0" w:line="240" w:lineRule="auto"/>
      </w:pPr>
      <w:r>
        <w:rPr>
          <w:noProof/>
        </w:rPr>
        <mc:AlternateContent>
          <mc:Choice Requires="wps">
            <w:drawing>
              <wp:anchor distT="0" distB="0" distL="114300" distR="114300" simplePos="0" relativeHeight="251660288" behindDoc="0" locked="0" layoutInCell="1" allowOverlap="1" wp14:anchorId="03520B4E" wp14:editId="7D8870F8">
                <wp:simplePos x="0" y="0"/>
                <wp:positionH relativeFrom="column">
                  <wp:posOffset>-41559</wp:posOffset>
                </wp:positionH>
                <wp:positionV relativeFrom="paragraph">
                  <wp:posOffset>80886</wp:posOffset>
                </wp:positionV>
                <wp:extent cx="3925570" cy="746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925570" cy="74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4C03" w:rsidRPr="00E66B13" w:rsidRDefault="003761F2" w:rsidP="001B3FD7">
                            <w:pPr>
                              <w:spacing w:after="0"/>
                              <w:rPr>
                                <w:rFonts w:cs="Open Sans"/>
                                <w:b/>
                                <w:sz w:val="36"/>
                                <w:szCs w:val="36"/>
                              </w:rPr>
                            </w:pPr>
                            <w:r w:rsidRPr="00E66B13">
                              <w:rPr>
                                <w:rFonts w:cs="Open Sans"/>
                                <w:b/>
                                <w:sz w:val="36"/>
                                <w:szCs w:val="36"/>
                              </w:rPr>
                              <w:t>Data Collection Planning Matrix</w:t>
                            </w:r>
                          </w:p>
                          <w:p w:rsidR="001B3FD7" w:rsidRPr="00C209E1" w:rsidRDefault="001B3FD7" w:rsidP="001B3FD7">
                            <w:pPr>
                              <w:spacing w:after="0"/>
                              <w:rPr>
                                <w:rFonts w:cs="Open Sans"/>
                                <w:b/>
                                <w:color w:val="FF0000"/>
                                <w:sz w:val="24"/>
                                <w:szCs w:val="24"/>
                              </w:rPr>
                            </w:pPr>
                            <w:proofErr w:type="gramStart"/>
                            <w:r w:rsidRPr="00E66B13">
                              <w:rPr>
                                <w:rFonts w:cs="Open Sans"/>
                                <w:sz w:val="24"/>
                                <w:szCs w:val="24"/>
                              </w:rPr>
                              <w:t>by</w:t>
                            </w:r>
                            <w:proofErr w:type="gramEnd"/>
                            <w:r w:rsidRPr="00E66B13">
                              <w:rPr>
                                <w:rFonts w:cs="Open Sans"/>
                                <w:sz w:val="24"/>
                                <w:szCs w:val="24"/>
                              </w:rPr>
                              <w:t xml:space="preserve"> </w:t>
                            </w:r>
                            <w:r w:rsidR="003761F2" w:rsidRPr="00E66B13">
                              <w:rPr>
                                <w:rFonts w:cs="Open Sans"/>
                                <w:sz w:val="24"/>
                                <w:szCs w:val="24"/>
                              </w:rPr>
                              <w:t>Lori Wingate</w:t>
                            </w:r>
                            <w:r w:rsidRPr="00E66B13">
                              <w:rPr>
                                <w:rFonts w:cs="Open Sans"/>
                                <w:sz w:val="24"/>
                                <w:szCs w:val="24"/>
                              </w:rPr>
                              <w:t xml:space="preserve"> | </w:t>
                            </w:r>
                            <w:r w:rsidR="003761F2" w:rsidRPr="00E66B13">
                              <w:rPr>
                                <w:rFonts w:cs="Open Sans"/>
                                <w:sz w:val="24"/>
                                <w:szCs w:val="24"/>
                              </w:rPr>
                              <w:t>Ju</w:t>
                            </w:r>
                            <w:r w:rsidR="00C209E1">
                              <w:rPr>
                                <w:rFonts w:cs="Open Sans"/>
                                <w:sz w:val="24"/>
                                <w:szCs w:val="24"/>
                              </w:rPr>
                              <w:t>ne</w:t>
                            </w:r>
                            <w:r w:rsidRPr="00E66B13">
                              <w:rPr>
                                <w:rFonts w:cs="Open Sans"/>
                                <w:sz w:val="24"/>
                                <w:szCs w:val="24"/>
                              </w:rPr>
                              <w:t xml:space="preserve"> 2015</w:t>
                            </w:r>
                            <w:r w:rsidR="002D3635" w:rsidRPr="00E66B13">
                              <w:rPr>
                                <w:rFonts w:cs="Open Sans"/>
                                <w:sz w:val="24"/>
                                <w:szCs w:val="24"/>
                              </w:rPr>
                              <w:t xml:space="preserve">  </w:t>
                            </w:r>
                          </w:p>
                          <w:p w:rsidR="001B3FD7" w:rsidRPr="001B3FD7" w:rsidRDefault="001B3FD7" w:rsidP="00274C03">
                            <w:pPr>
                              <w:spacing w:before="240" w:after="0"/>
                              <w:rPr>
                                <w:rFonts w:ascii="Open Sans" w:hAnsi="Open Sans" w:cs="Open Sans"/>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5pt;margin-top:6.35pt;width:309.1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" filled="f" stroked="f" strokeweight=".5pt">
                <v:textbox>
                  <w:txbxContent>
                    <w:p w:rsidR="00274C03" w:rsidRPr="00E66B13" w:rsidRDefault="003761F2" w:rsidP="001B3FD7">
                      <w:pPr>
                        <w:spacing w:after="0"/>
                        <w:rPr>
                          <w:rFonts w:cs="Open Sans"/>
                          <w:b/>
                          <w:sz w:val="36"/>
                          <w:szCs w:val="36"/>
                        </w:rPr>
                      </w:pPr>
                      <w:r w:rsidRPr="00E66B13">
                        <w:rPr>
                          <w:rFonts w:cs="Open Sans"/>
                          <w:b/>
                          <w:sz w:val="36"/>
                          <w:szCs w:val="36"/>
                        </w:rPr>
                        <w:t>Data Collection Planning Matrix</w:t>
                      </w:r>
                    </w:p>
                    <w:p w:rsidR="001B3FD7" w:rsidRPr="00C209E1" w:rsidRDefault="001B3FD7" w:rsidP="001B3FD7">
                      <w:pPr>
                        <w:spacing w:after="0"/>
                        <w:rPr>
                          <w:rFonts w:cs="Open Sans"/>
                          <w:b/>
                          <w:color w:val="FF0000"/>
                          <w:sz w:val="24"/>
                          <w:szCs w:val="24"/>
                        </w:rPr>
                      </w:pPr>
                      <w:proofErr w:type="gramStart"/>
                      <w:r w:rsidRPr="00E66B13">
                        <w:rPr>
                          <w:rFonts w:cs="Open Sans"/>
                          <w:sz w:val="24"/>
                          <w:szCs w:val="24"/>
                        </w:rPr>
                        <w:t>by</w:t>
                      </w:r>
                      <w:proofErr w:type="gramEnd"/>
                      <w:r w:rsidRPr="00E66B13">
                        <w:rPr>
                          <w:rFonts w:cs="Open Sans"/>
                          <w:sz w:val="24"/>
                          <w:szCs w:val="24"/>
                        </w:rPr>
                        <w:t xml:space="preserve"> </w:t>
                      </w:r>
                      <w:r w:rsidR="003761F2" w:rsidRPr="00E66B13">
                        <w:rPr>
                          <w:rFonts w:cs="Open Sans"/>
                          <w:sz w:val="24"/>
                          <w:szCs w:val="24"/>
                        </w:rPr>
                        <w:t>Lori Wingate</w:t>
                      </w:r>
                      <w:r w:rsidRPr="00E66B13">
                        <w:rPr>
                          <w:rFonts w:cs="Open Sans"/>
                          <w:sz w:val="24"/>
                          <w:szCs w:val="24"/>
                        </w:rPr>
                        <w:t xml:space="preserve"> | </w:t>
                      </w:r>
                      <w:r w:rsidR="003761F2" w:rsidRPr="00E66B13">
                        <w:rPr>
                          <w:rFonts w:cs="Open Sans"/>
                          <w:sz w:val="24"/>
                          <w:szCs w:val="24"/>
                        </w:rPr>
                        <w:t>Ju</w:t>
                      </w:r>
                      <w:r w:rsidR="00C209E1">
                        <w:rPr>
                          <w:rFonts w:cs="Open Sans"/>
                          <w:sz w:val="24"/>
                          <w:szCs w:val="24"/>
                        </w:rPr>
                        <w:t>ne</w:t>
                      </w:r>
                      <w:r w:rsidRPr="00E66B13">
                        <w:rPr>
                          <w:rFonts w:cs="Open Sans"/>
                          <w:sz w:val="24"/>
                          <w:szCs w:val="24"/>
                        </w:rPr>
                        <w:t xml:space="preserve"> 2015</w:t>
                      </w:r>
                      <w:r w:rsidR="002D3635" w:rsidRPr="00E66B13">
                        <w:rPr>
                          <w:rFonts w:cs="Open Sans"/>
                          <w:sz w:val="24"/>
                          <w:szCs w:val="24"/>
                        </w:rPr>
                        <w:t xml:space="preserve">  </w:t>
                      </w:r>
                    </w:p>
                    <w:p w:rsidR="001B3FD7" w:rsidRPr="001B3FD7" w:rsidRDefault="001B3FD7" w:rsidP="00274C03">
                      <w:pPr>
                        <w:spacing w:before="240" w:after="0"/>
                        <w:rPr>
                          <w:rFonts w:ascii="Open Sans" w:hAnsi="Open Sans" w:cs="Open Sans"/>
                          <w:sz w:val="40"/>
                        </w:rPr>
                      </w:pPr>
                    </w:p>
                  </w:txbxContent>
                </v:textbox>
              </v:shape>
            </w:pict>
          </mc:Fallback>
        </mc:AlternateContent>
      </w:r>
      <w:r w:rsidR="003761F2" w:rsidRPr="003761F2">
        <w:rPr>
          <w:noProof/>
        </w:rPr>
        <mc:AlternateContent>
          <mc:Choice Requires="wps">
            <w:drawing>
              <wp:anchor distT="0" distB="0" distL="114300" distR="114300" simplePos="0" relativeHeight="251665408" behindDoc="0" locked="0" layoutInCell="1" allowOverlap="1" wp14:anchorId="70C2437B" wp14:editId="67A3B7A6">
                <wp:simplePos x="0" y="0"/>
                <wp:positionH relativeFrom="column">
                  <wp:posOffset>-2162503</wp:posOffset>
                </wp:positionH>
                <wp:positionV relativeFrom="paragraph">
                  <wp:posOffset>896007</wp:posOffset>
                </wp:positionV>
                <wp:extent cx="6048221" cy="472965"/>
                <wp:effectExtent l="0" t="0" r="0" b="0"/>
                <wp:wrapNone/>
                <wp:docPr id="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221" cy="472965"/>
                        </a:xfrm>
                        <a:prstGeom prst="rect">
                          <a:avLst/>
                        </a:prstGeom>
                        <a:noFill/>
                      </wps:spPr>
                      <wps:txbx>
                        <w:txbxContent>
                          <w:p w:rsidR="003761F2" w:rsidRPr="00E66B13" w:rsidRDefault="003761F2" w:rsidP="003761F2">
                            <w:pPr>
                              <w:textAlignment w:val="baseline"/>
                              <w:rPr>
                                <w:rFonts w:cs="Open Sans"/>
                                <w:i/>
                                <w:sz w:val="16"/>
                                <w:szCs w:val="16"/>
                              </w:rPr>
                            </w:pPr>
                            <w:r w:rsidRPr="00E66B13">
                              <w:rPr>
                                <w:rFonts w:cs="Open Sans"/>
                                <w:i/>
                                <w:color w:val="000000" w:themeColor="text1"/>
                                <w:kern w:val="24"/>
                                <w:sz w:val="16"/>
                                <w:szCs w:val="16"/>
                              </w:rPr>
                              <w:t xml:space="preserve">This material is based upon work supported by the National Science Foundation under grant number 1204683. Any opinions, findings, and conclusions or recommendations expressed in this material are those of the author and do not necessarily reflect the views of NSF.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4" o:spid="_x0000_s1027" type="#_x0000_t202" style="position:absolute;margin-left:-170.3pt;margin-top:70.55pt;width:476.25pt;height:3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" filled="f" stroked="f">
                <v:path arrowok="t"/>
                <v:textbox inset="0,0,0,0">
                  <w:txbxContent>
                    <w:p w:rsidR="003761F2" w:rsidRPr="00E66B13" w:rsidRDefault="003761F2" w:rsidP="003761F2">
                      <w:pPr>
                        <w:textAlignment w:val="baseline"/>
                        <w:rPr>
                          <w:rFonts w:cs="Open Sans"/>
                          <w:i/>
                          <w:sz w:val="16"/>
                          <w:szCs w:val="16"/>
                        </w:rPr>
                      </w:pPr>
                      <w:r w:rsidRPr="00E66B13">
                        <w:rPr>
                          <w:rFonts w:cs="Open Sans"/>
                          <w:i/>
                          <w:color w:val="000000" w:themeColor="text1"/>
                          <w:kern w:val="24"/>
                          <w:sz w:val="16"/>
                          <w:szCs w:val="16"/>
                        </w:rPr>
                        <w:t xml:space="preserve">This material is based upon work supported by the National Science Foundation under grant number 1204683. Any opinions, findings, and conclusions or recommendations expressed in this material are those of the author and do not necessarily reflect the views of NSF. </w:t>
                      </w:r>
                    </w:p>
                  </w:txbxContent>
                </v:textbox>
              </v:shape>
            </w:pict>
          </mc:Fallback>
        </mc:AlternateContent>
      </w:r>
      <w:r w:rsidR="003761F2" w:rsidRPr="003761F2">
        <w:rPr>
          <w:noProof/>
        </w:rPr>
        <w:drawing>
          <wp:anchor distT="0" distB="0" distL="114300" distR="114300" simplePos="0" relativeHeight="251664384" behindDoc="0" locked="0" layoutInCell="1" allowOverlap="1" wp14:anchorId="0EC93FC9" wp14:editId="59A0CBBF">
            <wp:simplePos x="0" y="0"/>
            <wp:positionH relativeFrom="column">
              <wp:posOffset>-2574925</wp:posOffset>
            </wp:positionH>
            <wp:positionV relativeFrom="paragraph">
              <wp:posOffset>845185</wp:posOffset>
            </wp:positionV>
            <wp:extent cx="382270" cy="397510"/>
            <wp:effectExtent l="0" t="0" r="0" b="2540"/>
            <wp:wrapNone/>
            <wp:docPr id="3" name="Picture 81" descr="nsf full color copy TRANSPARENT.gif"/>
            <wp:cNvGraphicFramePr/>
            <a:graphic xmlns:a="http://schemas.openxmlformats.org/drawingml/2006/main">
              <a:graphicData uri="http://schemas.openxmlformats.org/drawingml/2006/picture">
                <pic:pic xmlns:pic="http://schemas.openxmlformats.org/drawingml/2006/picture">
                  <pic:nvPicPr>
                    <pic:cNvPr id="9" name="Picture 81" descr="nsf full color copy TRANSPARENT.g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7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1F2">
        <w:rPr>
          <w:noProof/>
        </w:rPr>
        <mc:AlternateContent>
          <mc:Choice Requires="wps">
            <w:drawing>
              <wp:anchor distT="0" distB="0" distL="114300" distR="114300" simplePos="0" relativeHeight="251662336" behindDoc="1" locked="0" layoutInCell="1" allowOverlap="1" wp14:anchorId="08B55467" wp14:editId="2F73AA1E">
                <wp:simplePos x="0" y="0"/>
                <wp:positionH relativeFrom="column">
                  <wp:posOffset>17780</wp:posOffset>
                </wp:positionH>
                <wp:positionV relativeFrom="paragraph">
                  <wp:posOffset>827405</wp:posOffset>
                </wp:positionV>
                <wp:extent cx="6858000" cy="0"/>
                <wp:effectExtent l="0" t="0" r="19050" b="19050"/>
                <wp:wrapTight wrapText="bothSides">
                  <wp:wrapPolygon edited="0">
                    <wp:start x="0" y="-1"/>
                    <wp:lineTo x="0" y="-1"/>
                    <wp:lineTo x="21600" y="-1"/>
                    <wp:lineTo x="21600" y="-1"/>
                    <wp:lineTo x="0" y="-1"/>
                  </wp:wrapPolygon>
                </wp:wrapTight>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5.15pt" to="541.4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" strokecolor="black [3213]" strokeweight="1.5pt">
                <w10:wrap type="tight"/>
              </v:line>
            </w:pict>
          </mc:Fallback>
        </mc:AlternateContent>
      </w:r>
      <w:r w:rsidR="001B3FD7">
        <w:rPr>
          <w:noProof/>
        </w:rPr>
        <w:drawing>
          <wp:anchor distT="0" distB="0" distL="114300" distR="114300" simplePos="0" relativeHeight="251659263" behindDoc="0" locked="0" layoutInCell="1" allowOverlap="1" wp14:anchorId="7A918708" wp14:editId="3BF63352">
            <wp:simplePos x="0" y="0"/>
            <wp:positionH relativeFrom="margin">
              <wp:align>left</wp:align>
            </wp:positionH>
            <wp:positionV relativeFrom="margin">
              <wp:align>top</wp:align>
            </wp:positionV>
            <wp:extent cx="2475230" cy="786765"/>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uATE_print_logo.jpg"/>
                    <pic:cNvPicPr/>
                  </pic:nvPicPr>
                  <pic:blipFill rotWithShape="1">
                    <a:blip r:embed="rId10" cstate="print">
                      <a:extLst>
                        <a:ext uri="{28A0092B-C50C-407E-A947-70E740481C1C}">
                          <a14:useLocalDpi xmlns:a14="http://schemas.microsoft.com/office/drawing/2010/main" val="0"/>
                        </a:ext>
                      </a:extLst>
                    </a:blip>
                    <a:srcRect b="7317"/>
                    <a:stretch/>
                  </pic:blipFill>
                  <pic:spPr bwMode="auto">
                    <a:xfrm>
                      <a:off x="0" y="0"/>
                      <a:ext cx="2475570" cy="787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4C03">
        <w:br w:type="textWrapping" w:clear="all"/>
      </w:r>
    </w:p>
    <w:p w:rsidR="003761F2" w:rsidRDefault="003761F2" w:rsidP="003761F2">
      <w:pPr>
        <w:spacing w:line="240" w:lineRule="auto"/>
      </w:pPr>
    </w:p>
    <w:p w:rsidR="003761F2" w:rsidRDefault="003761F2" w:rsidP="003761F2">
      <w:pPr>
        <w:spacing w:line="240" w:lineRule="auto"/>
      </w:pPr>
      <w:r>
        <w:t>An evaluation plan needs to describe what data will be collected, from what sources, and how</w:t>
      </w:r>
      <w:r w:rsidR="00E97149">
        <w:t>, by whom, and when</w:t>
      </w:r>
      <w:r>
        <w:t>, as well as how the data will be analyzed. Placing this information in a matrix format helps ensure that there is a viable plan for collecting all the data necessary to answer each evaluation question and that all data collected will serve a specific, intended purpose. The table below may be copied into another document</w:t>
      </w:r>
      <w:r w:rsidR="005735EC">
        <w:t>, such as a grant proposal, and edited/</w:t>
      </w:r>
      <w:r w:rsidR="00E97149">
        <w:t xml:space="preserve"> </w:t>
      </w:r>
      <w:r w:rsidR="005735EC">
        <w:t>expanded as needed.</w:t>
      </w:r>
    </w:p>
    <w:tbl>
      <w:tblPr>
        <w:tblStyle w:val="TableGrid"/>
        <w:tblW w:w="10908" w:type="dxa"/>
        <w:tblLook w:val="04A0" w:firstRow="1" w:lastRow="0" w:firstColumn="1" w:lastColumn="0" w:noHBand="0" w:noVBand="1"/>
      </w:tblPr>
      <w:tblGrid>
        <w:gridCol w:w="1818"/>
        <w:gridCol w:w="1818"/>
        <w:gridCol w:w="1818"/>
        <w:gridCol w:w="1818"/>
        <w:gridCol w:w="1818"/>
        <w:gridCol w:w="1818"/>
      </w:tblGrid>
      <w:tr w:rsidR="00A509AF" w:rsidRPr="00953D2E" w:rsidTr="00A509AF">
        <w:trPr>
          <w:trHeight w:val="296"/>
        </w:trPr>
        <w:tc>
          <w:tcPr>
            <w:tcW w:w="10908" w:type="dxa"/>
            <w:gridSpan w:val="6"/>
            <w:shd w:val="clear" w:color="auto" w:fill="FFFFFF" w:themeFill="background1"/>
          </w:tcPr>
          <w:p w:rsidR="00A509AF" w:rsidRPr="00DD63A5" w:rsidRDefault="00A509AF" w:rsidP="003761F2">
            <w:pPr>
              <w:rPr>
                <w:b/>
                <w:i/>
              </w:rPr>
            </w:pPr>
            <w:r w:rsidRPr="00DD63A5">
              <w:rPr>
                <w:b/>
              </w:rPr>
              <w:t>Evaluation Question:</w:t>
            </w:r>
          </w:p>
        </w:tc>
      </w:tr>
      <w:tr w:rsidR="00A509AF" w:rsidRPr="00953D2E" w:rsidTr="00A509AF">
        <w:trPr>
          <w:trHeight w:val="305"/>
        </w:trPr>
        <w:tc>
          <w:tcPr>
            <w:tcW w:w="1818" w:type="dxa"/>
            <w:shd w:val="clear" w:color="auto" w:fill="FFFFFF" w:themeFill="background1"/>
          </w:tcPr>
          <w:p w:rsidR="00A509AF" w:rsidRPr="00953D2E" w:rsidRDefault="00A509AF" w:rsidP="003761F2">
            <w:pPr>
              <w:jc w:val="center"/>
              <w:rPr>
                <w:b/>
              </w:rPr>
            </w:pPr>
            <w:r w:rsidRPr="00953D2E">
              <w:rPr>
                <w:b/>
              </w:rPr>
              <w:t>Indicator</w:t>
            </w:r>
          </w:p>
        </w:tc>
        <w:tc>
          <w:tcPr>
            <w:tcW w:w="1818" w:type="dxa"/>
            <w:shd w:val="clear" w:color="auto" w:fill="FFFFFF" w:themeFill="background1"/>
          </w:tcPr>
          <w:p w:rsidR="00A509AF" w:rsidRPr="00953D2E" w:rsidRDefault="00A509AF" w:rsidP="003761F2">
            <w:pPr>
              <w:jc w:val="center"/>
              <w:rPr>
                <w:b/>
              </w:rPr>
            </w:pPr>
            <w:r>
              <w:rPr>
                <w:b/>
              </w:rPr>
              <w:t xml:space="preserve">Data </w:t>
            </w:r>
            <w:r w:rsidRPr="00953D2E">
              <w:rPr>
                <w:b/>
              </w:rPr>
              <w:t>Source</w:t>
            </w:r>
          </w:p>
        </w:tc>
        <w:tc>
          <w:tcPr>
            <w:tcW w:w="1818" w:type="dxa"/>
            <w:shd w:val="clear" w:color="auto" w:fill="FFFFFF" w:themeFill="background1"/>
          </w:tcPr>
          <w:p w:rsidR="00A509AF" w:rsidRPr="00953D2E" w:rsidRDefault="00A509AF" w:rsidP="003761F2">
            <w:pPr>
              <w:jc w:val="center"/>
              <w:rPr>
                <w:b/>
              </w:rPr>
            </w:pPr>
            <w:r w:rsidRPr="00953D2E">
              <w:rPr>
                <w:b/>
              </w:rPr>
              <w:t>Data Collection Method</w:t>
            </w:r>
          </w:p>
        </w:tc>
        <w:tc>
          <w:tcPr>
            <w:tcW w:w="1818" w:type="dxa"/>
            <w:shd w:val="clear" w:color="auto" w:fill="FFFFFF" w:themeFill="background1"/>
          </w:tcPr>
          <w:p w:rsidR="00A509AF" w:rsidRPr="00953D2E" w:rsidRDefault="00A509AF" w:rsidP="003761F2">
            <w:pPr>
              <w:jc w:val="center"/>
              <w:rPr>
                <w:b/>
              </w:rPr>
            </w:pPr>
            <w:r>
              <w:rPr>
                <w:b/>
              </w:rPr>
              <w:t>Responsible Party</w:t>
            </w:r>
          </w:p>
        </w:tc>
        <w:tc>
          <w:tcPr>
            <w:tcW w:w="1818" w:type="dxa"/>
            <w:shd w:val="clear" w:color="auto" w:fill="FFFFFF" w:themeFill="background1"/>
          </w:tcPr>
          <w:p w:rsidR="00A509AF" w:rsidRPr="00953D2E" w:rsidRDefault="00A509AF" w:rsidP="003761F2">
            <w:pPr>
              <w:jc w:val="center"/>
              <w:rPr>
                <w:b/>
              </w:rPr>
            </w:pPr>
            <w:r w:rsidRPr="00953D2E">
              <w:rPr>
                <w:b/>
              </w:rPr>
              <w:t>Timing</w:t>
            </w:r>
          </w:p>
        </w:tc>
        <w:tc>
          <w:tcPr>
            <w:tcW w:w="1818" w:type="dxa"/>
            <w:shd w:val="clear" w:color="auto" w:fill="FFFFFF" w:themeFill="background1"/>
          </w:tcPr>
          <w:p w:rsidR="00A509AF" w:rsidRPr="008F30C1" w:rsidRDefault="00A509AF" w:rsidP="003761F2">
            <w:pPr>
              <w:jc w:val="center"/>
              <w:rPr>
                <w:b/>
              </w:rPr>
            </w:pPr>
            <w:r w:rsidRPr="008F30C1">
              <w:rPr>
                <w:b/>
              </w:rPr>
              <w:t>Analysis Plan</w:t>
            </w:r>
          </w:p>
        </w:tc>
      </w:tr>
      <w:tr w:rsidR="00A509AF" w:rsidTr="00A509AF">
        <w:trPr>
          <w:trHeight w:val="1222"/>
        </w:trPr>
        <w:tc>
          <w:tcPr>
            <w:tcW w:w="1818" w:type="dxa"/>
            <w:shd w:val="clear" w:color="auto" w:fill="FFFFFF" w:themeFill="background1"/>
          </w:tcPr>
          <w:p w:rsidR="00A509AF" w:rsidRPr="00295061" w:rsidRDefault="00A509AF" w:rsidP="003761F2">
            <w:pPr>
              <w:rPr>
                <w:sz w:val="20"/>
                <w:szCs w:val="20"/>
              </w:rPr>
            </w:pPr>
          </w:p>
        </w:tc>
        <w:tc>
          <w:tcPr>
            <w:tcW w:w="1818" w:type="dxa"/>
            <w:shd w:val="clear" w:color="auto" w:fill="FFFFFF" w:themeFill="background1"/>
          </w:tcPr>
          <w:p w:rsidR="00A509AF" w:rsidRPr="00295061" w:rsidRDefault="00A509AF" w:rsidP="003761F2">
            <w:pPr>
              <w:rPr>
                <w:sz w:val="20"/>
                <w:szCs w:val="20"/>
              </w:rPr>
            </w:pPr>
          </w:p>
        </w:tc>
        <w:tc>
          <w:tcPr>
            <w:tcW w:w="1818" w:type="dxa"/>
            <w:shd w:val="clear" w:color="auto" w:fill="FFFFFF" w:themeFill="background1"/>
          </w:tcPr>
          <w:p w:rsidR="00A509AF" w:rsidRPr="00295061" w:rsidRDefault="00A509AF" w:rsidP="003761F2">
            <w:pPr>
              <w:rPr>
                <w:sz w:val="20"/>
                <w:szCs w:val="20"/>
              </w:rPr>
            </w:pPr>
          </w:p>
        </w:tc>
        <w:tc>
          <w:tcPr>
            <w:tcW w:w="1818" w:type="dxa"/>
            <w:shd w:val="clear" w:color="auto" w:fill="FFFFFF" w:themeFill="background1"/>
          </w:tcPr>
          <w:p w:rsidR="00A509AF" w:rsidRPr="00295061" w:rsidRDefault="00A509AF" w:rsidP="003761F2">
            <w:pPr>
              <w:rPr>
                <w:sz w:val="20"/>
                <w:szCs w:val="20"/>
              </w:rPr>
            </w:pPr>
          </w:p>
        </w:tc>
        <w:tc>
          <w:tcPr>
            <w:tcW w:w="1818" w:type="dxa"/>
            <w:shd w:val="clear" w:color="auto" w:fill="FFFFFF" w:themeFill="background1"/>
          </w:tcPr>
          <w:p w:rsidR="00A509AF" w:rsidRPr="00295061" w:rsidRDefault="00A509AF" w:rsidP="003761F2">
            <w:pPr>
              <w:rPr>
                <w:sz w:val="20"/>
                <w:szCs w:val="20"/>
              </w:rPr>
            </w:pPr>
          </w:p>
        </w:tc>
        <w:tc>
          <w:tcPr>
            <w:tcW w:w="1818" w:type="dxa"/>
            <w:shd w:val="clear" w:color="auto" w:fill="FFFFFF" w:themeFill="background1"/>
          </w:tcPr>
          <w:p w:rsidR="00A509AF" w:rsidRPr="00295061" w:rsidRDefault="00A509AF" w:rsidP="003761F2">
            <w:pPr>
              <w:rPr>
                <w:sz w:val="20"/>
                <w:szCs w:val="20"/>
              </w:rPr>
            </w:pPr>
          </w:p>
        </w:tc>
      </w:tr>
    </w:tbl>
    <w:p w:rsidR="003761F2" w:rsidRDefault="003761F2" w:rsidP="00A509AF">
      <w:pPr>
        <w:spacing w:before="240" w:after="120" w:line="240" w:lineRule="auto"/>
        <w:rPr>
          <w:b/>
        </w:rPr>
      </w:pPr>
      <w:r>
        <w:rPr>
          <w:b/>
        </w:rPr>
        <w:t>D</w:t>
      </w:r>
      <w:r w:rsidRPr="003761F2">
        <w:rPr>
          <w:b/>
        </w:rPr>
        <w:t>EFINITIONS</w:t>
      </w:r>
    </w:p>
    <w:p w:rsidR="003761F2" w:rsidRDefault="003761F2" w:rsidP="00A509AF">
      <w:pPr>
        <w:spacing w:after="120" w:line="240" w:lineRule="auto"/>
      </w:pPr>
      <w:r w:rsidRPr="008F30C1">
        <w:rPr>
          <w:b/>
        </w:rPr>
        <w:t>Evaluation Question</w:t>
      </w:r>
      <w:r>
        <w:rPr>
          <w:b/>
        </w:rPr>
        <w:t>s</w:t>
      </w:r>
      <w:r w:rsidRPr="003761F2">
        <w:t xml:space="preserve"> are </w:t>
      </w:r>
      <w:r w:rsidRPr="00DC76B1">
        <w:t>overarching questions about a</w:t>
      </w:r>
      <w:r>
        <w:t xml:space="preserve"> project’s</w:t>
      </w:r>
      <w:r w:rsidRPr="00DC76B1">
        <w:t xml:space="preserve"> merit, worth, or significance.</w:t>
      </w:r>
      <w:r>
        <w:t xml:space="preserve"> The number of evaluation questions depends on the scope and purpose of the evaluation; 3 to 7 questions </w:t>
      </w:r>
      <w:proofErr w:type="gramStart"/>
      <w:r>
        <w:t>is</w:t>
      </w:r>
      <w:proofErr w:type="gramEnd"/>
      <w:r>
        <w:t xml:space="preserve"> typical. Question</w:t>
      </w:r>
      <w:r w:rsidR="005735EC">
        <w:t>s</w:t>
      </w:r>
      <w:r>
        <w:t xml:space="preserve"> should address both project implementation and outcomes.</w:t>
      </w:r>
    </w:p>
    <w:p w:rsidR="003761F2" w:rsidRDefault="003761F2" w:rsidP="00A509AF">
      <w:pPr>
        <w:spacing w:after="120" w:line="240" w:lineRule="auto"/>
      </w:pPr>
      <w:r w:rsidRPr="008F30C1">
        <w:rPr>
          <w:b/>
        </w:rPr>
        <w:t>Indicator</w:t>
      </w:r>
      <w:r>
        <w:rPr>
          <w:b/>
        </w:rPr>
        <w:t xml:space="preserve">s </w:t>
      </w:r>
      <w:r w:rsidRPr="003761F2">
        <w:t>are</w:t>
      </w:r>
      <w:r>
        <w:rPr>
          <w:b/>
        </w:rPr>
        <w:t xml:space="preserve"> </w:t>
      </w:r>
      <w:r w:rsidR="00F24377">
        <w:t xml:space="preserve">specific data points </w:t>
      </w:r>
      <w:r w:rsidRPr="00DC76B1">
        <w:t xml:space="preserve">about an aspect of </w:t>
      </w:r>
      <w:r w:rsidR="00F24377">
        <w:t>a</w:t>
      </w:r>
      <w:r w:rsidRPr="00DC76B1">
        <w:t xml:space="preserve"> projec</w:t>
      </w:r>
      <w:r>
        <w:t>t—basically, what will be measured in order to answer the evaluation questions</w:t>
      </w:r>
      <w:r w:rsidRPr="00DC76B1">
        <w:t xml:space="preserve">. It is useful to use multiple indicators </w:t>
      </w:r>
      <w:r>
        <w:t xml:space="preserve">to address </w:t>
      </w:r>
      <w:r w:rsidRPr="00DC76B1">
        <w:t>an evaluation question</w:t>
      </w:r>
      <w:r>
        <w:t>, including qualitative and quantitative data.</w:t>
      </w:r>
    </w:p>
    <w:p w:rsidR="003761F2" w:rsidRDefault="003761F2" w:rsidP="00A509AF">
      <w:pPr>
        <w:spacing w:after="120" w:line="240" w:lineRule="auto"/>
      </w:pPr>
      <w:r w:rsidRPr="008F30C1">
        <w:rPr>
          <w:b/>
        </w:rPr>
        <w:t>Data Source</w:t>
      </w:r>
      <w:r>
        <w:rPr>
          <w:b/>
        </w:rPr>
        <w:t xml:space="preserve"> </w:t>
      </w:r>
      <w:r>
        <w:t>identifies</w:t>
      </w:r>
      <w:r w:rsidRPr="00DC76B1">
        <w:t xml:space="preserve"> from whom or what </w:t>
      </w:r>
      <w:r w:rsidR="00E97149">
        <w:t xml:space="preserve">entity </w:t>
      </w:r>
      <w:r w:rsidRPr="00DC76B1">
        <w:t>data will be collected. Typical data sources for ATE evaluations include project personnel, students, graduates, faculty, project partners, business and industry representatives, institutional records, Web usage statistics, and teaching and learning artifacts</w:t>
      </w:r>
      <w:r>
        <w:t xml:space="preserve">. </w:t>
      </w:r>
    </w:p>
    <w:p w:rsidR="003761F2" w:rsidRDefault="003761F2" w:rsidP="00A509AF">
      <w:pPr>
        <w:spacing w:after="120" w:line="240" w:lineRule="auto"/>
      </w:pPr>
      <w:r w:rsidRPr="008F30C1">
        <w:rPr>
          <w:b/>
        </w:rPr>
        <w:t>Data Collection Method</w:t>
      </w:r>
      <w:r w:rsidRPr="003761F2">
        <w:t xml:space="preserve"> is the </w:t>
      </w:r>
      <w:r w:rsidRPr="00DC76B1">
        <w:t xml:space="preserve">means by which information will be </w:t>
      </w:r>
      <w:r>
        <w:t>gathered</w:t>
      </w:r>
      <w:r w:rsidRPr="00DC76B1">
        <w:t>, such as surveys, focus groups, interviews, observations, and institutional database queries</w:t>
      </w:r>
      <w:r>
        <w:t>.</w:t>
      </w:r>
    </w:p>
    <w:p w:rsidR="00A509AF" w:rsidRDefault="00A509AF" w:rsidP="00A509AF">
      <w:pPr>
        <w:spacing w:after="120" w:line="240" w:lineRule="auto"/>
      </w:pPr>
      <w:r w:rsidRPr="00A509AF">
        <w:rPr>
          <w:b/>
        </w:rPr>
        <w:t>Responsible Party</w:t>
      </w:r>
      <w:r>
        <w:t xml:space="preserve"> is </w:t>
      </w:r>
      <w:r w:rsidRPr="00DC76B1">
        <w:t xml:space="preserve">the individual or organization that will be tasked with collecting the needed information. In many cases, </w:t>
      </w:r>
      <w:r>
        <w:t xml:space="preserve">data collection requires </w:t>
      </w:r>
      <w:r w:rsidRPr="00DC76B1">
        <w:t xml:space="preserve">cooperation among multiple </w:t>
      </w:r>
      <w:r>
        <w:t xml:space="preserve">entities. </w:t>
      </w:r>
      <w:r w:rsidRPr="00DC76B1">
        <w:t>For example, an external evaluator may be responsible for an administering a survey, but a member of the project staff may need to supply the contact information</w:t>
      </w:r>
      <w:r>
        <w:t>.</w:t>
      </w:r>
    </w:p>
    <w:p w:rsidR="003761F2" w:rsidRDefault="003761F2" w:rsidP="00A509AF">
      <w:pPr>
        <w:spacing w:after="120" w:line="240" w:lineRule="auto"/>
      </w:pPr>
      <w:r w:rsidRPr="008F30C1">
        <w:rPr>
          <w:b/>
        </w:rPr>
        <w:t>Timing</w:t>
      </w:r>
      <w:r>
        <w:rPr>
          <w:b/>
        </w:rPr>
        <w:t xml:space="preserve"> </w:t>
      </w:r>
      <w:r w:rsidRPr="00DC76B1">
        <w:t>identifies when and how frequently data will be collected</w:t>
      </w:r>
      <w:r>
        <w:t xml:space="preserve"> (</w:t>
      </w:r>
      <w:r w:rsidRPr="00DC76B1">
        <w:t>e.g., at events, quarterly, annually</w:t>
      </w:r>
      <w:r>
        <w:t>)</w:t>
      </w:r>
      <w:r w:rsidRPr="00DC76B1">
        <w:t xml:space="preserve">. It is important to identify approximately when data collection will take place to ensure the information will be obtained when needed for reporting purposes </w:t>
      </w:r>
      <w:r>
        <w:t xml:space="preserve">and decision making </w:t>
      </w:r>
      <w:r w:rsidRPr="00DC76B1">
        <w:t>and that the data collection schedule is conducive to other things taking place in project’s context (e.g., other major data collection activities, semester schedules)</w:t>
      </w:r>
      <w:r>
        <w:t>.</w:t>
      </w:r>
    </w:p>
    <w:p w:rsidR="003761F2" w:rsidRPr="003761F2" w:rsidRDefault="003761F2" w:rsidP="00A509AF">
      <w:pPr>
        <w:spacing w:after="120" w:line="240" w:lineRule="auto"/>
        <w:rPr>
          <w:b/>
        </w:rPr>
      </w:pPr>
      <w:r w:rsidRPr="003761F2">
        <w:rPr>
          <w:b/>
        </w:rPr>
        <w:t xml:space="preserve">Analysis Plan </w:t>
      </w:r>
      <w:r>
        <w:t>is the approach to be used for making sense of the data, basically how the information will be transformed to reach conclusions in relation to the evaluation questions.</w:t>
      </w:r>
      <w:r w:rsidRPr="003761F2">
        <w:rPr>
          <w:b/>
        </w:rPr>
        <w:t xml:space="preserve"> </w:t>
      </w:r>
    </w:p>
    <w:sectPr w:rsidR="003761F2" w:rsidRPr="003761F2" w:rsidSect="00A509AF">
      <w:footerReference w:type="default" r:id="rId11"/>
      <w:footerReference w:type="first" r:id="rId12"/>
      <w:pgSz w:w="12240" w:h="15840"/>
      <w:pgMar w:top="720" w:right="720" w:bottom="720" w:left="720" w:header="360" w:footer="3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E3" w:rsidRDefault="009479E3" w:rsidP="00203BBB">
      <w:pPr>
        <w:spacing w:after="0" w:line="240" w:lineRule="auto"/>
      </w:pPr>
      <w:r>
        <w:separator/>
      </w:r>
    </w:p>
  </w:endnote>
  <w:endnote w:type="continuationSeparator" w:id="0">
    <w:p w:rsidR="009479E3" w:rsidRDefault="009479E3" w:rsidP="0020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C9" w:rsidRPr="001B3FD7" w:rsidRDefault="00B35374" w:rsidP="001B3FD7">
    <w:pPr>
      <w:spacing w:after="0" w:line="240" w:lineRule="auto"/>
      <w:jc w:val="center"/>
      <w:rPr>
        <w:rFonts w:ascii="Open Sans" w:eastAsia="Times New Roman" w:hAnsi="Open Sans" w:cs="Open Sans"/>
        <w:sz w:val="24"/>
        <w:szCs w:val="24"/>
      </w:rPr>
    </w:pPr>
    <w:r>
      <w:rPr>
        <w:noProof/>
      </w:rPr>
      <mc:AlternateContent>
        <mc:Choice Requires="wps">
          <w:drawing>
            <wp:anchor distT="0" distB="0" distL="114300" distR="114300" simplePos="0" relativeHeight="251660288" behindDoc="0" locked="0" layoutInCell="1" allowOverlap="1" wp14:anchorId="42B17E32" wp14:editId="2E430D38">
              <wp:simplePos x="0" y="0"/>
              <wp:positionH relativeFrom="column">
                <wp:posOffset>459828</wp:posOffset>
              </wp:positionH>
              <wp:positionV relativeFrom="paragraph">
                <wp:posOffset>-316734</wp:posOffset>
              </wp:positionV>
              <wp:extent cx="5996151" cy="343535"/>
              <wp:effectExtent l="0" t="0" r="0" b="0"/>
              <wp:wrapNone/>
              <wp:docPr id="1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151" cy="343535"/>
                      </a:xfrm>
                      <a:prstGeom prst="rect">
                        <a:avLst/>
                      </a:prstGeom>
                      <a:noFill/>
                    </wps:spPr>
                    <wps:txbx>
                      <w:txbxContent>
                        <w:p w:rsidR="00FA1F10" w:rsidRPr="00FA1F10" w:rsidRDefault="00FA1F10" w:rsidP="00FA1F10">
                          <w:pPr>
                            <w:textAlignment w:val="baseline"/>
                            <w:rPr>
                              <w:rFonts w:ascii="Open Sans" w:hAnsi="Open Sans" w:cs="Open Sans"/>
                              <w:i/>
                              <w:sz w:val="16"/>
                              <w:szCs w:val="16"/>
                            </w:rPr>
                          </w:pPr>
                          <w:r w:rsidRPr="00FA1F10">
                            <w:rPr>
                              <w:rFonts w:ascii="Open Sans" w:hAnsi="Open Sans" w:cs="Open Sans"/>
                              <w:i/>
                              <w:color w:val="000000" w:themeColor="text1"/>
                              <w:kern w:val="24"/>
                              <w:sz w:val="16"/>
                              <w:szCs w:val="16"/>
                            </w:rPr>
                            <w:t xml:space="preserve">This material is based upon work supported by the National Science Foundation under grant number 1204683. Any opinions, findings, and conclusions or recommendations expressed in this material are those of the author and do not necessarily reflect the views of NSF. </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pt;margin-top:-24.95pt;width:472.15pt;height:27.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" filled="f" stroked="f">
              <v:path arrowok="t"/>
              <v:textbox inset="0,0,0,0">
                <w:txbxContent>
                  <w:p w:rsidR="00FA1F10" w:rsidRPr="00FA1F10" w:rsidRDefault="00FA1F10" w:rsidP="00FA1F10">
                    <w:pPr>
                      <w:textAlignment w:val="baseline"/>
                      <w:rPr>
                        <w:rFonts w:ascii="Open Sans" w:hAnsi="Open Sans" w:cs="Open Sans"/>
                        <w:i/>
                        <w:sz w:val="16"/>
                        <w:szCs w:val="16"/>
                      </w:rPr>
                    </w:pPr>
                    <w:r w:rsidRPr="00FA1F10">
                      <w:rPr>
                        <w:rFonts w:ascii="Open Sans" w:hAnsi="Open Sans" w:cs="Open Sans"/>
                        <w:i/>
                        <w:color w:val="000000" w:themeColor="text1"/>
                        <w:kern w:val="24"/>
                        <w:sz w:val="16"/>
                        <w:szCs w:val="16"/>
                      </w:rPr>
                      <w:t xml:space="preserve">This material is based upon work supported by the National Science Foundation under grant number 1204683. Any opinions, findings, and conclusions or recommendations expressed in this material are those of the author and do not necessarily reflect the views of NSF. </w:t>
                    </w:r>
                  </w:p>
                </w:txbxContent>
              </v:textbox>
            </v:shape>
          </w:pict>
        </mc:Fallback>
      </mc:AlternateContent>
    </w:r>
    <w:r>
      <w:rPr>
        <w:noProof/>
      </w:rPr>
      <w:drawing>
        <wp:anchor distT="0" distB="0" distL="114300" distR="114300" simplePos="0" relativeHeight="251659264" behindDoc="0" locked="0" layoutInCell="1" allowOverlap="1" wp14:anchorId="5D5EFB01" wp14:editId="1FD03127">
          <wp:simplePos x="0" y="0"/>
          <wp:positionH relativeFrom="column">
            <wp:posOffset>-3810</wp:posOffset>
          </wp:positionH>
          <wp:positionV relativeFrom="paragraph">
            <wp:posOffset>-367840</wp:posOffset>
          </wp:positionV>
          <wp:extent cx="382270" cy="397510"/>
          <wp:effectExtent l="0" t="0" r="0" b="2540"/>
          <wp:wrapNone/>
          <wp:docPr id="8" name="Picture 81" descr="nsf full color copy TRANSPARENT.gif"/>
          <wp:cNvGraphicFramePr/>
          <a:graphic xmlns:a="http://schemas.openxmlformats.org/drawingml/2006/main">
            <a:graphicData uri="http://schemas.openxmlformats.org/drawingml/2006/picture">
              <pic:pic xmlns:pic="http://schemas.openxmlformats.org/drawingml/2006/picture">
                <pic:nvPicPr>
                  <pic:cNvPr id="9" name="Picture 81" descr="nsf full color copy TRANSPARENT.g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270" cy="3975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10" w:rsidRPr="001B3FD7" w:rsidRDefault="009479E3" w:rsidP="00FA1F10">
    <w:pPr>
      <w:spacing w:after="0" w:line="240" w:lineRule="auto"/>
      <w:jc w:val="center"/>
      <w:rPr>
        <w:rFonts w:ascii="Open Sans" w:eastAsia="Times New Roman" w:hAnsi="Open Sans" w:cs="Open Sans"/>
        <w:sz w:val="24"/>
        <w:szCs w:val="24"/>
      </w:rPr>
    </w:pPr>
    <w:hyperlink r:id="rId1" w:history="1">
      <w:proofErr w:type="gramStart"/>
      <w:r w:rsidR="000D023E" w:rsidRPr="000D023E">
        <w:rPr>
          <w:rStyle w:val="Hyperlink"/>
          <w:rFonts w:ascii="Open Sans" w:eastAsia="Times New Roman" w:hAnsi="Open Sans" w:cs="Open Sans"/>
          <w:color w:val="auto"/>
          <w:sz w:val="24"/>
          <w:szCs w:val="24"/>
          <w:u w:val="none"/>
        </w:rPr>
        <w:t>evalu-ate.org</w:t>
      </w:r>
      <w:proofErr w:type="gramEnd"/>
    </w:hyperlink>
    <w:r w:rsidR="00E66B13">
      <w:rPr>
        <w:rStyle w:val="Hyperlink"/>
        <w:rFonts w:ascii="Open Sans" w:eastAsia="Times New Roman" w:hAnsi="Open Sans" w:cs="Open Sans"/>
        <w:color w:val="auto"/>
        <w:sz w:val="24"/>
        <w:szCs w:val="24"/>
        <w:u w:val="none"/>
      </w:rPr>
      <w:t xml:space="preserve"> </w:t>
    </w:r>
    <w:r w:rsidR="00FA1F10" w:rsidRPr="001B3FD7">
      <w:rPr>
        <w:rFonts w:ascii="Open Sans" w:eastAsia="Times New Roman" w:hAnsi="Open Sans" w:cs="Open Sans"/>
        <w:sz w:val="24"/>
        <w:szCs w:val="24"/>
      </w:rPr>
      <w:t>| (269) 387-5895 | Western Michigan University</w:t>
    </w:r>
  </w:p>
  <w:p w:rsidR="001B3FD7" w:rsidRDefault="001B3FD7" w:rsidP="001B3FD7">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E3" w:rsidRDefault="009479E3" w:rsidP="00203BBB">
      <w:pPr>
        <w:spacing w:after="0" w:line="240" w:lineRule="auto"/>
      </w:pPr>
      <w:r>
        <w:separator/>
      </w:r>
    </w:p>
  </w:footnote>
  <w:footnote w:type="continuationSeparator" w:id="0">
    <w:p w:rsidR="009479E3" w:rsidRDefault="009479E3" w:rsidP="00203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9.2pt;height:149.2pt" o:bullet="t">
        <v:imagedata r:id="rId1" o:title="Untitled-1"/>
      </v:shape>
    </w:pict>
  </w:numPicBullet>
  <w:numPicBullet w:numPicBulletId="1">
    <w:pict>
      <v:shape id="_x0000_i1035" type="#_x0000_t75" style="width:41.95pt;height:41.95pt" o:bullet="t">
        <v:imagedata r:id="rId2" o:title="Bullet"/>
      </v:shape>
    </w:pict>
  </w:numPicBullet>
  <w:abstractNum w:abstractNumId="0">
    <w:nsid w:val="03E93FA6"/>
    <w:multiLevelType w:val="hybridMultilevel"/>
    <w:tmpl w:val="FA18F91A"/>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93DFD"/>
    <w:multiLevelType w:val="hybridMultilevel"/>
    <w:tmpl w:val="8FD44A12"/>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2971"/>
    <w:multiLevelType w:val="hybridMultilevel"/>
    <w:tmpl w:val="F8B83DAE"/>
    <w:lvl w:ilvl="0" w:tplc="F0B01710">
      <w:start w:val="1"/>
      <w:numFmt w:val="bullet"/>
      <w:lvlText w:val=""/>
      <w:lvlPicBulletId w:val="0"/>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C7145"/>
    <w:multiLevelType w:val="hybridMultilevel"/>
    <w:tmpl w:val="083EA204"/>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5B62"/>
    <w:multiLevelType w:val="hybridMultilevel"/>
    <w:tmpl w:val="F3BAD6FE"/>
    <w:lvl w:ilvl="0" w:tplc="C52A9498">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D4837"/>
    <w:multiLevelType w:val="hybridMultilevel"/>
    <w:tmpl w:val="43B298DE"/>
    <w:lvl w:ilvl="0" w:tplc="F0B017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5064FB"/>
    <w:multiLevelType w:val="hybridMultilevel"/>
    <w:tmpl w:val="9FCA96EA"/>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37153"/>
    <w:multiLevelType w:val="hybridMultilevel"/>
    <w:tmpl w:val="999EE5A0"/>
    <w:lvl w:ilvl="0" w:tplc="F0B01710">
      <w:start w:val="1"/>
      <w:numFmt w:val="bullet"/>
      <w:lvlText w:val=""/>
      <w:lvlPicBulletId w:val="0"/>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4FE3E9C"/>
    <w:multiLevelType w:val="hybridMultilevel"/>
    <w:tmpl w:val="D9ECB29C"/>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D4409"/>
    <w:multiLevelType w:val="hybridMultilevel"/>
    <w:tmpl w:val="9E8CEFCA"/>
    <w:lvl w:ilvl="0" w:tplc="F0B017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46929"/>
    <w:multiLevelType w:val="hybridMultilevel"/>
    <w:tmpl w:val="0A9AF4B8"/>
    <w:lvl w:ilvl="0" w:tplc="F0B0171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C30E3"/>
    <w:multiLevelType w:val="hybridMultilevel"/>
    <w:tmpl w:val="16E4A4BE"/>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5645E6"/>
    <w:multiLevelType w:val="hybridMultilevel"/>
    <w:tmpl w:val="B882E8A2"/>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FB06EA"/>
    <w:multiLevelType w:val="hybridMultilevel"/>
    <w:tmpl w:val="E2B6FD04"/>
    <w:lvl w:ilvl="0" w:tplc="C52A9498">
      <w:start w:val="1"/>
      <w:numFmt w:val="bullet"/>
      <w:lvlText w:val=""/>
      <w:lvlPicBulletId w:val="1"/>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1F1887"/>
    <w:multiLevelType w:val="hybridMultilevel"/>
    <w:tmpl w:val="C6D43D98"/>
    <w:lvl w:ilvl="0" w:tplc="F0B01710">
      <w:start w:val="1"/>
      <w:numFmt w:val="bullet"/>
      <w:lvlText w:val=""/>
      <w:lvlPicBulletId w:val="0"/>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4D17FF"/>
    <w:multiLevelType w:val="hybridMultilevel"/>
    <w:tmpl w:val="6AFA6286"/>
    <w:lvl w:ilvl="0" w:tplc="C52A949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117384"/>
    <w:multiLevelType w:val="hybridMultilevel"/>
    <w:tmpl w:val="A0823E04"/>
    <w:lvl w:ilvl="0" w:tplc="C52A9498">
      <w:start w:val="1"/>
      <w:numFmt w:val="bullet"/>
      <w:lvlText w:val=""/>
      <w:lvlPicBulletId w:val="1"/>
      <w:lvlJc w:val="left"/>
      <w:pPr>
        <w:ind w:left="720" w:hanging="360"/>
      </w:pPr>
      <w:rPr>
        <w:rFonts w:ascii="Symbol" w:hAnsi="Symbol" w:hint="default"/>
        <w:color w:val="auto"/>
      </w:rPr>
    </w:lvl>
    <w:lvl w:ilvl="1" w:tplc="F0B0171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5"/>
  </w:num>
  <w:num w:numId="6">
    <w:abstractNumId w:val="11"/>
  </w:num>
  <w:num w:numId="7">
    <w:abstractNumId w:val="14"/>
  </w:num>
  <w:num w:numId="8">
    <w:abstractNumId w:val="8"/>
  </w:num>
  <w:num w:numId="9">
    <w:abstractNumId w:val="3"/>
  </w:num>
  <w:num w:numId="10">
    <w:abstractNumId w:val="4"/>
  </w:num>
  <w:num w:numId="11">
    <w:abstractNumId w:val="12"/>
  </w:num>
  <w:num w:numId="12">
    <w:abstractNumId w:val="16"/>
  </w:num>
  <w:num w:numId="13">
    <w:abstractNumId w:val="1"/>
  </w:num>
  <w:num w:numId="14">
    <w:abstractNumId w:val="15"/>
  </w:num>
  <w:num w:numId="15">
    <w:abstractNumId w:val="0"/>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D7"/>
    <w:rsid w:val="000D023E"/>
    <w:rsid w:val="001B3FD7"/>
    <w:rsid w:val="001B7C03"/>
    <w:rsid w:val="001E1AF3"/>
    <w:rsid w:val="00203BBB"/>
    <w:rsid w:val="00250A6F"/>
    <w:rsid w:val="00274C03"/>
    <w:rsid w:val="00296A2D"/>
    <w:rsid w:val="002D3635"/>
    <w:rsid w:val="002D3915"/>
    <w:rsid w:val="002E0F5D"/>
    <w:rsid w:val="003761F2"/>
    <w:rsid w:val="00385EC9"/>
    <w:rsid w:val="00394C98"/>
    <w:rsid w:val="003F03CD"/>
    <w:rsid w:val="00416A32"/>
    <w:rsid w:val="0052237A"/>
    <w:rsid w:val="005735EC"/>
    <w:rsid w:val="00642CCA"/>
    <w:rsid w:val="00682D0A"/>
    <w:rsid w:val="006A6AF3"/>
    <w:rsid w:val="00733FC9"/>
    <w:rsid w:val="007C43D7"/>
    <w:rsid w:val="00842BC5"/>
    <w:rsid w:val="00886BE3"/>
    <w:rsid w:val="009479E3"/>
    <w:rsid w:val="00A509AF"/>
    <w:rsid w:val="00B35374"/>
    <w:rsid w:val="00C209E1"/>
    <w:rsid w:val="00CA4B3B"/>
    <w:rsid w:val="00E23DEE"/>
    <w:rsid w:val="00E66B13"/>
    <w:rsid w:val="00E97149"/>
    <w:rsid w:val="00F24377"/>
    <w:rsid w:val="00F65D7C"/>
    <w:rsid w:val="00F749BD"/>
    <w:rsid w:val="00FA1F10"/>
    <w:rsid w:val="00FE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BBB"/>
    <w:rPr>
      <w:rFonts w:ascii="Tahoma" w:hAnsi="Tahoma" w:cs="Tahoma"/>
      <w:sz w:val="16"/>
      <w:szCs w:val="16"/>
    </w:rPr>
  </w:style>
  <w:style w:type="paragraph" w:styleId="Header">
    <w:name w:val="header"/>
    <w:basedOn w:val="Normal"/>
    <w:link w:val="HeaderChar"/>
    <w:uiPriority w:val="99"/>
    <w:unhideWhenUsed/>
    <w:rsid w:val="00203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BB"/>
  </w:style>
  <w:style w:type="paragraph" w:styleId="Footer">
    <w:name w:val="footer"/>
    <w:basedOn w:val="Normal"/>
    <w:link w:val="FooterChar"/>
    <w:uiPriority w:val="99"/>
    <w:unhideWhenUsed/>
    <w:rsid w:val="00203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BB"/>
  </w:style>
  <w:style w:type="character" w:styleId="Hyperlink">
    <w:name w:val="Hyperlink"/>
    <w:basedOn w:val="DefaultParagraphFont"/>
    <w:uiPriority w:val="99"/>
    <w:unhideWhenUsed/>
    <w:rsid w:val="00733FC9"/>
    <w:rPr>
      <w:color w:val="0000FF" w:themeColor="hyperlink"/>
      <w:u w:val="single"/>
    </w:rPr>
  </w:style>
  <w:style w:type="paragraph" w:styleId="ListParagraph">
    <w:name w:val="List Paragraph"/>
    <w:basedOn w:val="Normal"/>
    <w:uiPriority w:val="34"/>
    <w:qFormat/>
    <w:rsid w:val="001B3FD7"/>
    <w:pPr>
      <w:ind w:left="720"/>
      <w:contextualSpacing/>
    </w:pPr>
  </w:style>
  <w:style w:type="character" w:customStyle="1" w:styleId="apple-converted-space">
    <w:name w:val="apple-converted-space"/>
    <w:basedOn w:val="DefaultParagraphFont"/>
    <w:rsid w:val="001B3FD7"/>
  </w:style>
  <w:style w:type="character" w:styleId="Emphasis">
    <w:name w:val="Emphasis"/>
    <w:basedOn w:val="DefaultParagraphFont"/>
    <w:uiPriority w:val="20"/>
    <w:qFormat/>
    <w:rsid w:val="001B3FD7"/>
    <w:rPr>
      <w:i/>
      <w:iCs/>
    </w:rPr>
  </w:style>
  <w:style w:type="character" w:styleId="CommentReference">
    <w:name w:val="annotation reference"/>
    <w:basedOn w:val="DefaultParagraphFont"/>
    <w:uiPriority w:val="99"/>
    <w:semiHidden/>
    <w:unhideWhenUsed/>
    <w:rsid w:val="00642CCA"/>
    <w:rPr>
      <w:sz w:val="16"/>
      <w:szCs w:val="16"/>
    </w:rPr>
  </w:style>
  <w:style w:type="paragraph" w:styleId="CommentText">
    <w:name w:val="annotation text"/>
    <w:basedOn w:val="Normal"/>
    <w:link w:val="CommentTextChar"/>
    <w:uiPriority w:val="99"/>
    <w:semiHidden/>
    <w:unhideWhenUsed/>
    <w:rsid w:val="00642CCA"/>
    <w:pPr>
      <w:spacing w:line="240" w:lineRule="auto"/>
    </w:pPr>
    <w:rPr>
      <w:sz w:val="20"/>
      <w:szCs w:val="20"/>
    </w:rPr>
  </w:style>
  <w:style w:type="character" w:customStyle="1" w:styleId="CommentTextChar">
    <w:name w:val="Comment Text Char"/>
    <w:basedOn w:val="DefaultParagraphFont"/>
    <w:link w:val="CommentText"/>
    <w:uiPriority w:val="99"/>
    <w:semiHidden/>
    <w:rsid w:val="00642CCA"/>
    <w:rPr>
      <w:sz w:val="20"/>
      <w:szCs w:val="20"/>
    </w:rPr>
  </w:style>
  <w:style w:type="paragraph" w:styleId="CommentSubject">
    <w:name w:val="annotation subject"/>
    <w:basedOn w:val="CommentText"/>
    <w:next w:val="CommentText"/>
    <w:link w:val="CommentSubjectChar"/>
    <w:uiPriority w:val="99"/>
    <w:semiHidden/>
    <w:unhideWhenUsed/>
    <w:rsid w:val="00642CCA"/>
    <w:rPr>
      <w:b/>
      <w:bCs/>
    </w:rPr>
  </w:style>
  <w:style w:type="character" w:customStyle="1" w:styleId="CommentSubjectChar">
    <w:name w:val="Comment Subject Char"/>
    <w:basedOn w:val="CommentTextChar"/>
    <w:link w:val="CommentSubject"/>
    <w:uiPriority w:val="99"/>
    <w:semiHidden/>
    <w:rsid w:val="00642CCA"/>
    <w:rPr>
      <w:b/>
      <w:bCs/>
      <w:sz w:val="20"/>
      <w:szCs w:val="20"/>
    </w:rPr>
  </w:style>
  <w:style w:type="table" w:styleId="TableGrid">
    <w:name w:val="Table Grid"/>
    <w:basedOn w:val="TableNormal"/>
    <w:uiPriority w:val="59"/>
    <w:rsid w:val="0037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BBB"/>
    <w:rPr>
      <w:rFonts w:ascii="Tahoma" w:hAnsi="Tahoma" w:cs="Tahoma"/>
      <w:sz w:val="16"/>
      <w:szCs w:val="16"/>
    </w:rPr>
  </w:style>
  <w:style w:type="paragraph" w:styleId="Header">
    <w:name w:val="header"/>
    <w:basedOn w:val="Normal"/>
    <w:link w:val="HeaderChar"/>
    <w:uiPriority w:val="99"/>
    <w:unhideWhenUsed/>
    <w:rsid w:val="00203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BB"/>
  </w:style>
  <w:style w:type="paragraph" w:styleId="Footer">
    <w:name w:val="footer"/>
    <w:basedOn w:val="Normal"/>
    <w:link w:val="FooterChar"/>
    <w:uiPriority w:val="99"/>
    <w:unhideWhenUsed/>
    <w:rsid w:val="00203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BB"/>
  </w:style>
  <w:style w:type="character" w:styleId="Hyperlink">
    <w:name w:val="Hyperlink"/>
    <w:basedOn w:val="DefaultParagraphFont"/>
    <w:uiPriority w:val="99"/>
    <w:unhideWhenUsed/>
    <w:rsid w:val="00733FC9"/>
    <w:rPr>
      <w:color w:val="0000FF" w:themeColor="hyperlink"/>
      <w:u w:val="single"/>
    </w:rPr>
  </w:style>
  <w:style w:type="paragraph" w:styleId="ListParagraph">
    <w:name w:val="List Paragraph"/>
    <w:basedOn w:val="Normal"/>
    <w:uiPriority w:val="34"/>
    <w:qFormat/>
    <w:rsid w:val="001B3FD7"/>
    <w:pPr>
      <w:ind w:left="720"/>
      <w:contextualSpacing/>
    </w:pPr>
  </w:style>
  <w:style w:type="character" w:customStyle="1" w:styleId="apple-converted-space">
    <w:name w:val="apple-converted-space"/>
    <w:basedOn w:val="DefaultParagraphFont"/>
    <w:rsid w:val="001B3FD7"/>
  </w:style>
  <w:style w:type="character" w:styleId="Emphasis">
    <w:name w:val="Emphasis"/>
    <w:basedOn w:val="DefaultParagraphFont"/>
    <w:uiPriority w:val="20"/>
    <w:qFormat/>
    <w:rsid w:val="001B3FD7"/>
    <w:rPr>
      <w:i/>
      <w:iCs/>
    </w:rPr>
  </w:style>
  <w:style w:type="character" w:styleId="CommentReference">
    <w:name w:val="annotation reference"/>
    <w:basedOn w:val="DefaultParagraphFont"/>
    <w:uiPriority w:val="99"/>
    <w:semiHidden/>
    <w:unhideWhenUsed/>
    <w:rsid w:val="00642CCA"/>
    <w:rPr>
      <w:sz w:val="16"/>
      <w:szCs w:val="16"/>
    </w:rPr>
  </w:style>
  <w:style w:type="paragraph" w:styleId="CommentText">
    <w:name w:val="annotation text"/>
    <w:basedOn w:val="Normal"/>
    <w:link w:val="CommentTextChar"/>
    <w:uiPriority w:val="99"/>
    <w:semiHidden/>
    <w:unhideWhenUsed/>
    <w:rsid w:val="00642CCA"/>
    <w:pPr>
      <w:spacing w:line="240" w:lineRule="auto"/>
    </w:pPr>
    <w:rPr>
      <w:sz w:val="20"/>
      <w:szCs w:val="20"/>
    </w:rPr>
  </w:style>
  <w:style w:type="character" w:customStyle="1" w:styleId="CommentTextChar">
    <w:name w:val="Comment Text Char"/>
    <w:basedOn w:val="DefaultParagraphFont"/>
    <w:link w:val="CommentText"/>
    <w:uiPriority w:val="99"/>
    <w:semiHidden/>
    <w:rsid w:val="00642CCA"/>
    <w:rPr>
      <w:sz w:val="20"/>
      <w:szCs w:val="20"/>
    </w:rPr>
  </w:style>
  <w:style w:type="paragraph" w:styleId="CommentSubject">
    <w:name w:val="annotation subject"/>
    <w:basedOn w:val="CommentText"/>
    <w:next w:val="CommentText"/>
    <w:link w:val="CommentSubjectChar"/>
    <w:uiPriority w:val="99"/>
    <w:semiHidden/>
    <w:unhideWhenUsed/>
    <w:rsid w:val="00642CCA"/>
    <w:rPr>
      <w:b/>
      <w:bCs/>
    </w:rPr>
  </w:style>
  <w:style w:type="character" w:customStyle="1" w:styleId="CommentSubjectChar">
    <w:name w:val="Comment Subject Char"/>
    <w:basedOn w:val="CommentTextChar"/>
    <w:link w:val="CommentSubject"/>
    <w:uiPriority w:val="99"/>
    <w:semiHidden/>
    <w:rsid w:val="00642CCA"/>
    <w:rPr>
      <w:b/>
      <w:bCs/>
      <w:sz w:val="20"/>
      <w:szCs w:val="20"/>
    </w:rPr>
  </w:style>
  <w:style w:type="table" w:styleId="TableGrid">
    <w:name w:val="Table Grid"/>
    <w:basedOn w:val="TableNormal"/>
    <w:uiPriority w:val="59"/>
    <w:rsid w:val="0037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5646">
      <w:bodyDiv w:val="1"/>
      <w:marLeft w:val="0"/>
      <w:marRight w:val="0"/>
      <w:marTop w:val="0"/>
      <w:marBottom w:val="0"/>
      <w:divBdr>
        <w:top w:val="none" w:sz="0" w:space="0" w:color="auto"/>
        <w:left w:val="none" w:sz="0" w:space="0" w:color="auto"/>
        <w:bottom w:val="none" w:sz="0" w:space="0" w:color="auto"/>
        <w:right w:val="none" w:sz="0" w:space="0" w:color="auto"/>
      </w:divBdr>
      <w:divsChild>
        <w:div w:id="67391388">
          <w:marLeft w:val="0"/>
          <w:marRight w:val="0"/>
          <w:marTop w:val="0"/>
          <w:marBottom w:val="0"/>
          <w:divBdr>
            <w:top w:val="none" w:sz="0" w:space="0" w:color="auto"/>
            <w:left w:val="none" w:sz="0" w:space="0" w:color="auto"/>
            <w:bottom w:val="none" w:sz="0" w:space="0" w:color="auto"/>
            <w:right w:val="none" w:sz="0" w:space="0" w:color="auto"/>
          </w:divBdr>
          <w:divsChild>
            <w:div w:id="434248686">
              <w:marLeft w:val="0"/>
              <w:marRight w:val="0"/>
              <w:marTop w:val="0"/>
              <w:marBottom w:val="0"/>
              <w:divBdr>
                <w:top w:val="none" w:sz="0" w:space="0" w:color="auto"/>
                <w:left w:val="none" w:sz="0" w:space="0" w:color="auto"/>
                <w:bottom w:val="none" w:sz="0" w:space="0" w:color="auto"/>
                <w:right w:val="none" w:sz="0" w:space="0" w:color="auto"/>
              </w:divBdr>
            </w:div>
            <w:div w:id="1104115022">
              <w:marLeft w:val="0"/>
              <w:marRight w:val="0"/>
              <w:marTop w:val="0"/>
              <w:marBottom w:val="0"/>
              <w:divBdr>
                <w:top w:val="none" w:sz="0" w:space="0" w:color="auto"/>
                <w:left w:val="none" w:sz="0" w:space="0" w:color="auto"/>
                <w:bottom w:val="none" w:sz="0" w:space="0" w:color="auto"/>
                <w:right w:val="none" w:sz="0" w:space="0" w:color="auto"/>
              </w:divBdr>
            </w:div>
            <w:div w:id="1545174723">
              <w:marLeft w:val="0"/>
              <w:marRight w:val="0"/>
              <w:marTop w:val="0"/>
              <w:marBottom w:val="0"/>
              <w:divBdr>
                <w:top w:val="none" w:sz="0" w:space="0" w:color="auto"/>
                <w:left w:val="none" w:sz="0" w:space="0" w:color="auto"/>
                <w:bottom w:val="none" w:sz="0" w:space="0" w:color="auto"/>
                <w:right w:val="none" w:sz="0" w:space="0" w:color="auto"/>
              </w:divBdr>
            </w:div>
            <w:div w:id="1554729080">
              <w:marLeft w:val="0"/>
              <w:marRight w:val="0"/>
              <w:marTop w:val="0"/>
              <w:marBottom w:val="0"/>
              <w:divBdr>
                <w:top w:val="none" w:sz="0" w:space="0" w:color="auto"/>
                <w:left w:val="none" w:sz="0" w:space="0" w:color="auto"/>
                <w:bottom w:val="none" w:sz="0" w:space="0" w:color="auto"/>
                <w:right w:val="none" w:sz="0" w:space="0" w:color="auto"/>
              </w:divBdr>
            </w:div>
            <w:div w:id="16256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www.evalu-ate.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C\Graphics\Letterhead\ERCLetterhead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5582-562E-468E-A53D-E192F679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ERCLetterheadPortrait</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Evaluation Center, Western Michigan University</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Perk</dc:creator>
  <cp:lastModifiedBy>Jason T Burkhardt</cp:lastModifiedBy>
  <cp:revision>2</cp:revision>
  <cp:lastPrinted>2015-06-26T14:59:00Z</cp:lastPrinted>
  <dcterms:created xsi:type="dcterms:W3CDTF">2015-07-02T18:34:00Z</dcterms:created>
  <dcterms:modified xsi:type="dcterms:W3CDTF">2015-07-02T18:34:00Z</dcterms:modified>
</cp:coreProperties>
</file>